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7795" w:rsidRDefault="003D7795" w:rsidP="003D7795">
      <w:pPr>
        <w:rPr>
          <w:rFonts w:ascii="Arial Narrow" w:hAnsi="Arial Narrow"/>
          <w:b/>
          <w:sz w:val="28"/>
          <w:szCs w:val="28"/>
          <w:u w:val="single"/>
        </w:rPr>
      </w:pPr>
    </w:p>
    <w:p w:rsidR="00812FDA" w:rsidRPr="00F1394A" w:rsidRDefault="00F1394A" w:rsidP="003D7795">
      <w:pPr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F1394A">
        <w:rPr>
          <w:rFonts w:ascii="Arial Narrow" w:hAnsi="Arial Narrow"/>
          <w:b/>
          <w:sz w:val="28"/>
          <w:szCs w:val="28"/>
          <w:u w:val="single"/>
        </w:rPr>
        <w:t>GLOSSAIRE GENERAL</w:t>
      </w:r>
    </w:p>
    <w:p w:rsidR="00812FDA" w:rsidRDefault="00812FDA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6"/>
        <w:gridCol w:w="5664"/>
      </w:tblGrid>
      <w:tr w:rsidR="00812FDA" w:rsidRPr="006B6F1B" w:rsidTr="0070609B">
        <w:tc>
          <w:tcPr>
            <w:tcW w:w="3397" w:type="dxa"/>
          </w:tcPr>
          <w:p w:rsidR="00812FDA" w:rsidRPr="006B6F1B" w:rsidRDefault="006B6F1B" w:rsidP="006B6F1B">
            <w:pPr>
              <w:jc w:val="center"/>
              <w:rPr>
                <w:rFonts w:ascii="Arial Narrow" w:hAnsi="Arial Narrow"/>
                <w:b/>
              </w:rPr>
            </w:pPr>
            <w:r w:rsidRPr="006B6F1B">
              <w:rPr>
                <w:rFonts w:ascii="Arial Narrow" w:hAnsi="Arial Narrow"/>
                <w:b/>
              </w:rPr>
              <w:t>TERMES EMPLOYES</w:t>
            </w:r>
          </w:p>
        </w:tc>
        <w:tc>
          <w:tcPr>
            <w:tcW w:w="5665" w:type="dxa"/>
          </w:tcPr>
          <w:p w:rsidR="00812FDA" w:rsidRPr="006B6F1B" w:rsidRDefault="006B6F1B" w:rsidP="006B6F1B">
            <w:pPr>
              <w:jc w:val="center"/>
              <w:rPr>
                <w:rFonts w:ascii="Arial Narrow" w:hAnsi="Arial Narrow"/>
                <w:b/>
              </w:rPr>
            </w:pPr>
            <w:r w:rsidRPr="006B6F1B">
              <w:rPr>
                <w:rFonts w:ascii="Arial Narrow" w:hAnsi="Arial Narrow"/>
                <w:b/>
              </w:rPr>
              <w:t>DEFINITION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812FDA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Salissure</w:t>
            </w:r>
          </w:p>
        </w:tc>
        <w:tc>
          <w:tcPr>
            <w:tcW w:w="5665" w:type="dxa"/>
          </w:tcPr>
          <w:p w:rsidR="00812FDA" w:rsidRPr="006B6F1B" w:rsidRDefault="00A25BDE" w:rsidP="00A25BDE">
            <w:pPr>
              <w:tabs>
                <w:tab w:val="left" w:pos="1335"/>
              </w:tabs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Elément adhérent ou non adhérent macroscopique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812FDA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Souillure</w:t>
            </w:r>
            <w:bookmarkStart w:id="0" w:name="_GoBack"/>
            <w:bookmarkEnd w:id="0"/>
          </w:p>
        </w:tc>
        <w:tc>
          <w:tcPr>
            <w:tcW w:w="5665" w:type="dxa"/>
          </w:tcPr>
          <w:p w:rsidR="00812FDA" w:rsidRPr="006B6F1B" w:rsidRDefault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Elément adhérent ou non adhérent microscopique de nature pathogène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812FDA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Nettoyage</w:t>
            </w:r>
          </w:p>
        </w:tc>
        <w:tc>
          <w:tcPr>
            <w:tcW w:w="5665" w:type="dxa"/>
          </w:tcPr>
          <w:p w:rsidR="00812FDA" w:rsidRPr="006B6F1B" w:rsidRDefault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Elimination de salissures des surfaces à l’aide d’un détergent ou d’un détartrant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443CA6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Bio nettoyage</w:t>
            </w:r>
          </w:p>
        </w:tc>
        <w:tc>
          <w:tcPr>
            <w:tcW w:w="5665" w:type="dxa"/>
          </w:tcPr>
          <w:p w:rsidR="00812FDA" w:rsidRPr="006B6F1B" w:rsidRDefault="00A25BDE" w:rsidP="00A73B25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Elimination de salissures macroscopiques et souillures microscopique des surfaces à l’aide</w:t>
            </w:r>
            <w:r w:rsidR="00A73B25">
              <w:rPr>
                <w:rFonts w:ascii="Arial Narrow" w:hAnsi="Arial Narrow" w:cs="ArialNarrow"/>
              </w:rPr>
              <w:t xml:space="preserve"> </w:t>
            </w:r>
            <w:r w:rsidRPr="006B6F1B">
              <w:rPr>
                <w:rFonts w:ascii="Arial Narrow" w:hAnsi="Arial Narrow" w:cs="ArialNarrow"/>
              </w:rPr>
              <w:t>d’un détergent désinfectant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443CA6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Nettoyage approfondi</w:t>
            </w:r>
          </w:p>
        </w:tc>
        <w:tc>
          <w:tcPr>
            <w:tcW w:w="5665" w:type="dxa"/>
          </w:tcPr>
          <w:p w:rsidR="00812FDA" w:rsidRPr="006B6F1B" w:rsidRDefault="00A25BDE" w:rsidP="00A73B25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Opération de nettoyage ou bio nettoyage visant à reprendre une prestation moyennement</w:t>
            </w:r>
            <w:r w:rsidR="00A73B25">
              <w:rPr>
                <w:rFonts w:ascii="Arial Narrow" w:hAnsi="Arial Narrow" w:cs="ArialNarrow"/>
              </w:rPr>
              <w:t xml:space="preserve"> </w:t>
            </w:r>
            <w:r w:rsidRPr="006B6F1B">
              <w:rPr>
                <w:rFonts w:ascii="Arial Narrow" w:hAnsi="Arial Narrow" w:cs="ArialNarrow"/>
              </w:rPr>
              <w:t>réalisée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443CA6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Remise en état</w:t>
            </w:r>
          </w:p>
        </w:tc>
        <w:tc>
          <w:tcPr>
            <w:tcW w:w="5665" w:type="dxa"/>
          </w:tcPr>
          <w:p w:rsidR="00812FDA" w:rsidRPr="006B6F1B" w:rsidRDefault="00A25BDE" w:rsidP="00A73B25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Prestation spécifique de nettoyage et / ou Bio nettoyage après travaux ou mise en service</w:t>
            </w:r>
            <w:r w:rsidR="00A73B25">
              <w:rPr>
                <w:rFonts w:ascii="Arial Narrow" w:hAnsi="Arial Narrow" w:cs="ArialNarrow"/>
              </w:rPr>
              <w:t xml:space="preserve"> </w:t>
            </w:r>
            <w:r w:rsidRPr="006B6F1B">
              <w:rPr>
                <w:rFonts w:ascii="Arial Narrow" w:hAnsi="Arial Narrow" w:cs="ArialNarrow"/>
              </w:rPr>
              <w:t>ou restructuration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Aspiration</w:t>
            </w:r>
          </w:p>
        </w:tc>
        <w:tc>
          <w:tcPr>
            <w:tcW w:w="5665" w:type="dxa"/>
          </w:tcPr>
          <w:p w:rsidR="00812FDA" w:rsidRPr="00A73B25" w:rsidRDefault="00A25BDE">
            <w:pPr>
              <w:rPr>
                <w:rFonts w:ascii="Arial Narrow" w:hAnsi="Arial Narrow"/>
              </w:rPr>
            </w:pPr>
            <w:r w:rsidRPr="00A73B25">
              <w:rPr>
                <w:rFonts w:ascii="Arial Narrow" w:hAnsi="Arial Narrow" w:cs="ArialNarrow"/>
              </w:rPr>
              <w:t xml:space="preserve">Elimination de poussières et de salissures non adhérentes sur </w:t>
            </w:r>
            <w:r w:rsidR="006B6F1B" w:rsidRPr="00A73B25">
              <w:rPr>
                <w:rFonts w:ascii="Arial Narrow" w:hAnsi="Arial Narrow" w:cs="ArialNarrow"/>
              </w:rPr>
              <w:t xml:space="preserve">béton et </w:t>
            </w:r>
            <w:r w:rsidR="00A73B25">
              <w:rPr>
                <w:rFonts w:ascii="Arial Narrow" w:hAnsi="Arial Narrow" w:cs="ArialNarrow"/>
              </w:rPr>
              <w:t>m</w:t>
            </w:r>
            <w:r w:rsidR="006B6F1B" w:rsidRPr="00A73B25">
              <w:rPr>
                <w:rFonts w:ascii="Arial Narrow" w:hAnsi="Arial Narrow" w:cs="ArialNarrow"/>
              </w:rPr>
              <w:t>oquette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A25BDE" w:rsidP="006B6F1B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Balayage humide</w:t>
            </w:r>
          </w:p>
        </w:tc>
        <w:tc>
          <w:tcPr>
            <w:tcW w:w="5665" w:type="dxa"/>
          </w:tcPr>
          <w:p w:rsidR="00812FDA" w:rsidRPr="006B6F1B" w:rsidRDefault="00A25BDE" w:rsidP="006B6F1B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Récupération de salissures non adhérentes de</w:t>
            </w:r>
            <w:r w:rsidR="006B6F1B" w:rsidRPr="006B6F1B">
              <w:rPr>
                <w:rFonts w:ascii="Arial Narrow" w:hAnsi="Arial Narrow" w:cs="ArialNarrow"/>
              </w:rPr>
              <w:t xml:space="preserve">s </w:t>
            </w:r>
            <w:r w:rsidRPr="006B6F1B">
              <w:rPr>
                <w:rFonts w:ascii="Arial Narrow" w:hAnsi="Arial Narrow" w:cs="ArialNarrow"/>
              </w:rPr>
              <w:t xml:space="preserve">poussières </w:t>
            </w:r>
            <w:r w:rsidR="006B6F1B" w:rsidRPr="0070609B">
              <w:rPr>
                <w:rFonts w:ascii="Arial Narrow" w:hAnsi="Arial Narrow" w:cs="ArialNarrow"/>
              </w:rPr>
              <w:t xml:space="preserve">et des petits détritus </w:t>
            </w:r>
            <w:r w:rsidRPr="0070609B">
              <w:rPr>
                <w:rFonts w:ascii="Arial Narrow" w:hAnsi="Arial Narrow" w:cs="ArialNarrow"/>
              </w:rPr>
              <w:t>sur les sols à l’aide d’un balai</w:t>
            </w:r>
            <w:r w:rsidR="006B6F1B" w:rsidRPr="0070609B">
              <w:rPr>
                <w:rFonts w:ascii="Arial Narrow" w:hAnsi="Arial Narrow" w:cs="ArialNarrow"/>
              </w:rPr>
              <w:t xml:space="preserve"> </w:t>
            </w:r>
            <w:r w:rsidRPr="0070609B">
              <w:rPr>
                <w:rFonts w:ascii="Arial Narrow" w:hAnsi="Arial Narrow" w:cs="ArialNarrow"/>
              </w:rPr>
              <w:t xml:space="preserve">trapèze et d’une gaze </w:t>
            </w:r>
            <w:r w:rsidRPr="006B6F1B">
              <w:rPr>
                <w:rFonts w:ascii="Arial Narrow" w:hAnsi="Arial Narrow" w:cs="ArialNarrow"/>
              </w:rPr>
              <w:t>imprégnée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Essuyage humide</w:t>
            </w:r>
          </w:p>
        </w:tc>
        <w:tc>
          <w:tcPr>
            <w:tcW w:w="5665" w:type="dxa"/>
          </w:tcPr>
          <w:p w:rsidR="00812FDA" w:rsidRPr="006B6F1B" w:rsidRDefault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Elimination de salissures / souillures adhérentes ou non adhérentes des surfaces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Lavage</w:t>
            </w:r>
          </w:p>
        </w:tc>
        <w:tc>
          <w:tcPr>
            <w:tcW w:w="5665" w:type="dxa"/>
          </w:tcPr>
          <w:p w:rsidR="00812FDA" w:rsidRPr="006B6F1B" w:rsidRDefault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Elimination de salissures adhérentes sur les sols de manière manuelle ou mécanisée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Détartrage</w:t>
            </w:r>
          </w:p>
        </w:tc>
        <w:tc>
          <w:tcPr>
            <w:tcW w:w="5665" w:type="dxa"/>
          </w:tcPr>
          <w:p w:rsidR="00812FDA" w:rsidRPr="006B6F1B" w:rsidRDefault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Elimination d’une couche de tartre à l’aide d’un détartrant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A25BDE" w:rsidP="0070609B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Désinfection siphon / trop</w:t>
            </w:r>
            <w:r w:rsidR="0070609B">
              <w:rPr>
                <w:rFonts w:ascii="Arial Narrow" w:hAnsi="Arial Narrow" w:cs="ArialNarrow"/>
              </w:rPr>
              <w:t xml:space="preserve"> </w:t>
            </w:r>
            <w:r w:rsidRPr="006B6F1B">
              <w:rPr>
                <w:rFonts w:ascii="Arial Narrow" w:hAnsi="Arial Narrow" w:cs="ArialNarrow"/>
              </w:rPr>
              <w:t>plein</w:t>
            </w:r>
          </w:p>
        </w:tc>
        <w:tc>
          <w:tcPr>
            <w:tcW w:w="5665" w:type="dxa"/>
          </w:tcPr>
          <w:p w:rsidR="00812FDA" w:rsidRPr="006B6F1B" w:rsidRDefault="00A25BDE" w:rsidP="0070609B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Elimination de salissures macroscopiques et souillures microscopique des siphons et trop</w:t>
            </w:r>
            <w:r w:rsidR="0070609B">
              <w:rPr>
                <w:rFonts w:ascii="Arial Narrow" w:hAnsi="Arial Narrow" w:cs="ArialNarrow"/>
              </w:rPr>
              <w:t xml:space="preserve"> </w:t>
            </w:r>
            <w:r w:rsidRPr="006B6F1B">
              <w:rPr>
                <w:rFonts w:ascii="Arial Narrow" w:hAnsi="Arial Narrow" w:cs="ArialNarrow"/>
              </w:rPr>
              <w:t>plein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Récurage du sol</w:t>
            </w:r>
          </w:p>
        </w:tc>
        <w:tc>
          <w:tcPr>
            <w:tcW w:w="5665" w:type="dxa"/>
          </w:tcPr>
          <w:p w:rsidR="00812FDA" w:rsidRPr="006B6F1B" w:rsidRDefault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Elimination approfondie de salissures adhérentes sur les sols par une action mécanisée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A25BDE" w:rsidP="00D13FCB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Nettoyage des revêtements</w:t>
            </w:r>
            <w:r w:rsidR="00D13FCB">
              <w:rPr>
                <w:rFonts w:ascii="Arial Narrow" w:hAnsi="Arial Narrow" w:cs="ArialNarrow"/>
              </w:rPr>
              <w:t xml:space="preserve"> </w:t>
            </w:r>
            <w:r w:rsidRPr="006B6F1B">
              <w:rPr>
                <w:rFonts w:ascii="Arial Narrow" w:hAnsi="Arial Narrow" w:cs="ArialNarrow"/>
              </w:rPr>
              <w:t>textile</w:t>
            </w:r>
            <w:r w:rsidR="00534478">
              <w:rPr>
                <w:rFonts w:ascii="Arial Narrow" w:hAnsi="Arial Narrow" w:cs="ArialNarrow"/>
              </w:rPr>
              <w:t>s</w:t>
            </w:r>
          </w:p>
        </w:tc>
        <w:tc>
          <w:tcPr>
            <w:tcW w:w="5665" w:type="dxa"/>
          </w:tcPr>
          <w:p w:rsidR="00812FDA" w:rsidRPr="006B6F1B" w:rsidRDefault="00A25BDE" w:rsidP="008D544A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Elimination de salissures macroscopiques des revêtements textile à l’aide d’un détergent</w:t>
            </w:r>
            <w:r w:rsidR="008D544A">
              <w:rPr>
                <w:rFonts w:ascii="Arial Narrow" w:hAnsi="Arial Narrow" w:cs="ArialNarrow"/>
              </w:rPr>
              <w:t xml:space="preserve"> </w:t>
            </w:r>
            <w:r w:rsidRPr="006B6F1B">
              <w:rPr>
                <w:rFonts w:ascii="Arial Narrow" w:hAnsi="Arial Narrow" w:cs="ArialNarrow"/>
              </w:rPr>
              <w:t>spécifique et d’un matériel adapté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A25BDE" w:rsidP="00534478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Protection des inox des</w:t>
            </w:r>
            <w:r w:rsidR="00534478">
              <w:rPr>
                <w:rFonts w:ascii="Arial Narrow" w:hAnsi="Arial Narrow" w:cs="ArialNarrow"/>
              </w:rPr>
              <w:t xml:space="preserve"> </w:t>
            </w:r>
            <w:r w:rsidRPr="006B6F1B">
              <w:rPr>
                <w:rFonts w:ascii="Arial Narrow" w:hAnsi="Arial Narrow" w:cs="ArialNarrow"/>
              </w:rPr>
              <w:t>ascenseurs</w:t>
            </w:r>
          </w:p>
        </w:tc>
        <w:tc>
          <w:tcPr>
            <w:tcW w:w="5665" w:type="dxa"/>
          </w:tcPr>
          <w:p w:rsidR="00812FDA" w:rsidRPr="006B6F1B" w:rsidRDefault="00A25BDE" w:rsidP="008D544A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Préservation de l’état initial de l’inox des parois et des portes par l’utilisation d’un produit</w:t>
            </w:r>
            <w:r w:rsidR="008D544A">
              <w:rPr>
                <w:rFonts w:ascii="Arial Narrow" w:hAnsi="Arial Narrow" w:cs="ArialNarrow"/>
              </w:rPr>
              <w:t xml:space="preserve"> </w:t>
            </w:r>
            <w:r w:rsidRPr="006B6F1B">
              <w:rPr>
                <w:rFonts w:ascii="Arial Narrow" w:hAnsi="Arial Narrow" w:cs="ArialNarrow"/>
              </w:rPr>
              <w:t>adapté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Paroi vitrée</w:t>
            </w:r>
          </w:p>
        </w:tc>
        <w:tc>
          <w:tcPr>
            <w:tcW w:w="5665" w:type="dxa"/>
          </w:tcPr>
          <w:p w:rsidR="00812FDA" w:rsidRPr="006B6F1B" w:rsidRDefault="00A25BDE" w:rsidP="008D544A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Elément permettant de créer une séparation, de fractionner un local en une ou plusieurs</w:t>
            </w:r>
            <w:r w:rsidR="008D544A">
              <w:rPr>
                <w:rFonts w:ascii="Arial Narrow" w:hAnsi="Arial Narrow" w:cs="ArialNarrow"/>
              </w:rPr>
              <w:t xml:space="preserve"> </w:t>
            </w:r>
            <w:r w:rsidRPr="006B6F1B">
              <w:rPr>
                <w:rFonts w:ascii="Arial Narrow" w:hAnsi="Arial Narrow" w:cs="ArialNarrow"/>
              </w:rPr>
              <w:t>zones (porte, fenêtre, cloison vitrée…)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Fenêtre</w:t>
            </w:r>
          </w:p>
        </w:tc>
        <w:tc>
          <w:tcPr>
            <w:tcW w:w="5665" w:type="dxa"/>
          </w:tcPr>
          <w:p w:rsidR="00812FDA" w:rsidRPr="006B6F1B" w:rsidRDefault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Ensemble comprenant : châssis, partie vitrée et partie ouvrante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Prestation hôtelière</w:t>
            </w:r>
          </w:p>
        </w:tc>
        <w:tc>
          <w:tcPr>
            <w:tcW w:w="5665" w:type="dxa"/>
          </w:tcPr>
          <w:p w:rsidR="00812FDA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Réfection du lit avec du linge propre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Aération</w:t>
            </w:r>
          </w:p>
        </w:tc>
        <w:tc>
          <w:tcPr>
            <w:tcW w:w="5665" w:type="dxa"/>
          </w:tcPr>
          <w:p w:rsidR="00812FDA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Action de renouveler l’air dans une pièce par ouverture de la fenêtre</w:t>
            </w:r>
          </w:p>
        </w:tc>
      </w:tr>
      <w:tr w:rsidR="00812FDA" w:rsidRPr="006B6F1B" w:rsidTr="0070609B">
        <w:tc>
          <w:tcPr>
            <w:tcW w:w="3397" w:type="dxa"/>
          </w:tcPr>
          <w:p w:rsidR="00812FDA" w:rsidRPr="006B6F1B" w:rsidRDefault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Traçabilité</w:t>
            </w:r>
          </w:p>
        </w:tc>
        <w:tc>
          <w:tcPr>
            <w:tcW w:w="5665" w:type="dxa"/>
          </w:tcPr>
          <w:p w:rsidR="00812FDA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Support écrit ou dématérialisé permettant de noter le travail réalisé</w:t>
            </w:r>
          </w:p>
        </w:tc>
      </w:tr>
      <w:tr w:rsidR="00A25BDE" w:rsidRPr="006B6F1B" w:rsidTr="0070609B">
        <w:tc>
          <w:tcPr>
            <w:tcW w:w="3397" w:type="dxa"/>
          </w:tcPr>
          <w:p w:rsidR="00A25BDE" w:rsidRPr="006B6F1B" w:rsidRDefault="00A25BDE" w:rsidP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Périphérie de la chambre</w:t>
            </w:r>
          </w:p>
        </w:tc>
        <w:tc>
          <w:tcPr>
            <w:tcW w:w="5665" w:type="dxa"/>
          </w:tcPr>
          <w:p w:rsidR="00A25BDE" w:rsidRPr="006B6F1B" w:rsidRDefault="005C664F" w:rsidP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Eléments autres que l’environnement proche du patient</w:t>
            </w:r>
          </w:p>
        </w:tc>
      </w:tr>
      <w:tr w:rsidR="00A25BDE" w:rsidRPr="006B6F1B" w:rsidTr="0070609B">
        <w:tc>
          <w:tcPr>
            <w:tcW w:w="3397" w:type="dxa"/>
          </w:tcPr>
          <w:p w:rsidR="00A25BDE" w:rsidRPr="006B6F1B" w:rsidRDefault="00A25BDE" w:rsidP="008D544A">
            <w:pPr>
              <w:autoSpaceDE w:val="0"/>
              <w:autoSpaceDN w:val="0"/>
              <w:adjustRightInd w:val="0"/>
              <w:rPr>
                <w:rFonts w:ascii="Arial Narrow" w:hAnsi="Arial Narrow" w:cs="ArialNarrow"/>
              </w:rPr>
            </w:pPr>
            <w:r w:rsidRPr="006B6F1B">
              <w:rPr>
                <w:rFonts w:ascii="Arial Narrow" w:hAnsi="Arial Narrow" w:cs="ArialNarrow"/>
              </w:rPr>
              <w:t>Environnement proche du</w:t>
            </w:r>
            <w:r w:rsidR="008D544A">
              <w:rPr>
                <w:rFonts w:ascii="Arial Narrow" w:hAnsi="Arial Narrow" w:cs="ArialNarrow"/>
              </w:rPr>
              <w:t xml:space="preserve"> </w:t>
            </w:r>
            <w:r w:rsidRPr="006B6F1B">
              <w:rPr>
                <w:rFonts w:ascii="Arial Narrow" w:hAnsi="Arial Narrow" w:cs="ArialNarrow"/>
              </w:rPr>
              <w:t>patient</w:t>
            </w:r>
          </w:p>
        </w:tc>
        <w:tc>
          <w:tcPr>
            <w:tcW w:w="5665" w:type="dxa"/>
          </w:tcPr>
          <w:p w:rsidR="00A25BDE" w:rsidRPr="006B6F1B" w:rsidRDefault="005C664F" w:rsidP="008D544A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Eléments les plus proches du patient : lit complet, adaptable, table de nuit, fauteuil, pied à</w:t>
            </w:r>
            <w:r w:rsidR="008D544A">
              <w:rPr>
                <w:rFonts w:ascii="Arial Narrow" w:hAnsi="Arial Narrow" w:cs="ArialNarrow"/>
              </w:rPr>
              <w:t xml:space="preserve"> p</w:t>
            </w:r>
            <w:r w:rsidRPr="006B6F1B">
              <w:rPr>
                <w:rFonts w:ascii="Arial Narrow" w:hAnsi="Arial Narrow" w:cs="ArialNarrow"/>
              </w:rPr>
              <w:t>erfusion</w:t>
            </w:r>
            <w:r w:rsidR="006B6F1B" w:rsidRPr="006B6F1B">
              <w:rPr>
                <w:rFonts w:ascii="Arial Narrow" w:hAnsi="Arial Narrow" w:cs="ArialNarrow"/>
              </w:rPr>
              <w:t xml:space="preserve">, </w:t>
            </w:r>
            <w:r w:rsidR="006B6F1B" w:rsidRPr="008D544A">
              <w:rPr>
                <w:rFonts w:ascii="Arial Narrow" w:hAnsi="Arial Narrow" w:cs="ArialNarrow"/>
              </w:rPr>
              <w:t>moteur du lève-malade</w:t>
            </w:r>
            <w:r w:rsidRPr="006B6F1B">
              <w:rPr>
                <w:rFonts w:ascii="Arial Narrow" w:hAnsi="Arial Narrow" w:cs="ArialNarrow"/>
              </w:rPr>
              <w:t>…</w:t>
            </w:r>
          </w:p>
        </w:tc>
      </w:tr>
      <w:tr w:rsidR="00A25BDE" w:rsidRPr="006B6F1B" w:rsidTr="0070609B">
        <w:tc>
          <w:tcPr>
            <w:tcW w:w="3397" w:type="dxa"/>
          </w:tcPr>
          <w:p w:rsidR="00A25BDE" w:rsidRPr="006B6F1B" w:rsidRDefault="00A25BDE" w:rsidP="00D13FCB">
            <w:pPr>
              <w:autoSpaceDE w:val="0"/>
              <w:autoSpaceDN w:val="0"/>
              <w:adjustRightInd w:val="0"/>
              <w:rPr>
                <w:rFonts w:ascii="Arial Narrow" w:hAnsi="Arial Narrow" w:cs="ArialNarrow"/>
              </w:rPr>
            </w:pPr>
            <w:r w:rsidRPr="006B6F1B">
              <w:rPr>
                <w:rFonts w:ascii="Arial Narrow" w:hAnsi="Arial Narrow" w:cs="ArialNarrow"/>
              </w:rPr>
              <w:t>Toutes surfaces et/ou</w:t>
            </w:r>
            <w:r w:rsidR="00D13FCB">
              <w:rPr>
                <w:rFonts w:ascii="Arial Narrow" w:hAnsi="Arial Narrow" w:cs="ArialNarrow"/>
              </w:rPr>
              <w:t xml:space="preserve"> </w:t>
            </w:r>
            <w:r w:rsidRPr="006B6F1B">
              <w:rPr>
                <w:rFonts w:ascii="Arial Narrow" w:hAnsi="Arial Narrow" w:cs="ArialNarrow"/>
              </w:rPr>
              <w:t>éléments haut</w:t>
            </w:r>
            <w:r w:rsidR="00D13FCB">
              <w:rPr>
                <w:rFonts w:ascii="Arial Narrow" w:hAnsi="Arial Narrow" w:cs="ArialNarrow"/>
              </w:rPr>
              <w:t>s</w:t>
            </w:r>
            <w:r w:rsidRPr="006B6F1B">
              <w:rPr>
                <w:rFonts w:ascii="Arial Narrow" w:hAnsi="Arial Narrow" w:cs="ArialNarrow"/>
              </w:rPr>
              <w:t>, horizontaux /</w:t>
            </w:r>
            <w:r w:rsidR="00D13FCB">
              <w:rPr>
                <w:rFonts w:ascii="Arial Narrow" w:hAnsi="Arial Narrow" w:cs="ArialNarrow"/>
              </w:rPr>
              <w:t xml:space="preserve"> </w:t>
            </w:r>
            <w:r w:rsidRPr="006B6F1B">
              <w:rPr>
                <w:rFonts w:ascii="Arial Narrow" w:hAnsi="Arial Narrow" w:cs="ArialNarrow"/>
              </w:rPr>
              <w:t>verticaux et obliques</w:t>
            </w:r>
          </w:p>
        </w:tc>
        <w:tc>
          <w:tcPr>
            <w:tcW w:w="5665" w:type="dxa"/>
          </w:tcPr>
          <w:p w:rsidR="005C664F" w:rsidRPr="006B6F1B" w:rsidRDefault="005C664F" w:rsidP="005C664F">
            <w:pPr>
              <w:autoSpaceDE w:val="0"/>
              <w:autoSpaceDN w:val="0"/>
              <w:adjustRightInd w:val="0"/>
              <w:rPr>
                <w:rFonts w:ascii="Arial Narrow" w:hAnsi="Arial Narrow" w:cs="ArialNarrow"/>
              </w:rPr>
            </w:pPr>
            <w:r w:rsidRPr="006B6F1B">
              <w:rPr>
                <w:rFonts w:ascii="Arial Narrow" w:hAnsi="Arial Narrow" w:cs="ArialNarrow"/>
              </w:rPr>
              <w:t>Tout élément ou surface se trouvant dans un local en dehors du sol</w:t>
            </w:r>
          </w:p>
          <w:p w:rsidR="00A25BDE" w:rsidRPr="006B6F1B" w:rsidRDefault="005C664F" w:rsidP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(</w:t>
            </w:r>
            <w:proofErr w:type="gramStart"/>
            <w:r w:rsidRPr="006B6F1B">
              <w:rPr>
                <w:rFonts w:ascii="Arial Narrow" w:hAnsi="Arial Narrow" w:cs="ArialNarrow"/>
              </w:rPr>
              <w:t>ex</w:t>
            </w:r>
            <w:proofErr w:type="gramEnd"/>
            <w:r w:rsidRPr="006B6F1B">
              <w:rPr>
                <w:rFonts w:ascii="Arial Narrow" w:hAnsi="Arial Narrow" w:cs="ArialNarrow"/>
              </w:rPr>
              <w:t xml:space="preserve"> : lavabo, cuvette </w:t>
            </w:r>
            <w:r w:rsidR="00534478">
              <w:rPr>
                <w:rFonts w:ascii="Arial Narrow" w:hAnsi="Arial Narrow" w:cs="ArialNarrow"/>
              </w:rPr>
              <w:t>WC</w:t>
            </w:r>
            <w:r w:rsidRPr="006B6F1B">
              <w:rPr>
                <w:rFonts w:ascii="Arial Narrow" w:hAnsi="Arial Narrow" w:cs="ArialNarrow"/>
              </w:rPr>
              <w:t>, mobilier, luminaire….)</w:t>
            </w:r>
          </w:p>
        </w:tc>
      </w:tr>
      <w:tr w:rsidR="00A25BDE" w:rsidRPr="006B6F1B" w:rsidTr="0070609B">
        <w:tc>
          <w:tcPr>
            <w:tcW w:w="3397" w:type="dxa"/>
          </w:tcPr>
          <w:p w:rsidR="00A25BDE" w:rsidRPr="006B6F1B" w:rsidRDefault="00A25BDE" w:rsidP="00A25BDE">
            <w:pPr>
              <w:rPr>
                <w:rFonts w:ascii="Arial Narrow" w:hAnsi="Arial Narrow" w:cs="ArialNarrow"/>
              </w:rPr>
            </w:pPr>
            <w:r w:rsidRPr="006B6F1B">
              <w:rPr>
                <w:rFonts w:ascii="Arial Narrow" w:hAnsi="Arial Narrow" w:cs="ArialNarrow"/>
              </w:rPr>
              <w:t>Périodique</w:t>
            </w:r>
          </w:p>
        </w:tc>
        <w:tc>
          <w:tcPr>
            <w:tcW w:w="5665" w:type="dxa"/>
          </w:tcPr>
          <w:p w:rsidR="005C664F" w:rsidRPr="006B6F1B" w:rsidRDefault="005C664F" w:rsidP="005C664F">
            <w:pPr>
              <w:autoSpaceDE w:val="0"/>
              <w:autoSpaceDN w:val="0"/>
              <w:adjustRightInd w:val="0"/>
              <w:rPr>
                <w:rFonts w:ascii="Arial Narrow" w:hAnsi="Arial Narrow" w:cs="ArialNarrow"/>
              </w:rPr>
            </w:pPr>
            <w:r w:rsidRPr="006B6F1B">
              <w:rPr>
                <w:rFonts w:ascii="Arial Narrow" w:hAnsi="Arial Narrow" w:cs="ArialNarrow"/>
              </w:rPr>
              <w:t>Entretien à réaliser de manière ponctuelle en fonction de l’état de l’élément à prendre en</w:t>
            </w:r>
            <w:r w:rsidR="00534478">
              <w:rPr>
                <w:rFonts w:ascii="Arial Narrow" w:hAnsi="Arial Narrow" w:cs="ArialNarrow"/>
              </w:rPr>
              <w:t xml:space="preserve"> </w:t>
            </w:r>
            <w:r w:rsidRPr="006B6F1B">
              <w:rPr>
                <w:rFonts w:ascii="Arial Narrow" w:hAnsi="Arial Narrow" w:cs="ArialNarrow"/>
              </w:rPr>
              <w:t>charge.</w:t>
            </w:r>
          </w:p>
          <w:p w:rsidR="00A25BDE" w:rsidRPr="006B6F1B" w:rsidRDefault="005C664F" w:rsidP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(</w:t>
            </w:r>
            <w:proofErr w:type="gramStart"/>
            <w:r w:rsidRPr="006B6F1B">
              <w:rPr>
                <w:rFonts w:ascii="Arial Narrow" w:hAnsi="Arial Narrow" w:cs="ArialNarrow"/>
              </w:rPr>
              <w:t>ex</w:t>
            </w:r>
            <w:proofErr w:type="gramEnd"/>
            <w:r w:rsidRPr="006B6F1B">
              <w:rPr>
                <w:rFonts w:ascii="Arial Narrow" w:hAnsi="Arial Narrow" w:cs="ArialNarrow"/>
              </w:rPr>
              <w:t xml:space="preserve"> : bimensuel, mensuel, trimestriel, semestriel…)</w:t>
            </w:r>
          </w:p>
        </w:tc>
      </w:tr>
      <w:tr w:rsidR="00A25BDE" w:rsidRPr="006B6F1B" w:rsidTr="0070609B">
        <w:tc>
          <w:tcPr>
            <w:tcW w:w="3397" w:type="dxa"/>
          </w:tcPr>
          <w:p w:rsidR="00A25BDE" w:rsidRPr="006B6F1B" w:rsidRDefault="00A25BDE" w:rsidP="00A25BDE">
            <w:pPr>
              <w:rPr>
                <w:rFonts w:ascii="Arial Narrow" w:hAnsi="Arial Narrow" w:cs="ArialNarrow"/>
              </w:rPr>
            </w:pPr>
            <w:r w:rsidRPr="006B6F1B">
              <w:rPr>
                <w:rFonts w:ascii="Arial Narrow" w:hAnsi="Arial Narrow" w:cs="ArialNarrow"/>
              </w:rPr>
              <w:t>Veille</w:t>
            </w:r>
          </w:p>
        </w:tc>
        <w:tc>
          <w:tcPr>
            <w:tcW w:w="5665" w:type="dxa"/>
          </w:tcPr>
          <w:p w:rsidR="00A25BDE" w:rsidRPr="006B6F1B" w:rsidRDefault="005C664F" w:rsidP="00A25BDE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Principe de surveillance pouvant impliquer une nouvelle prestation, action correctrice</w:t>
            </w:r>
          </w:p>
        </w:tc>
      </w:tr>
    </w:tbl>
    <w:p w:rsidR="00812FDA" w:rsidRPr="006B6F1B" w:rsidRDefault="00812FDA">
      <w:pPr>
        <w:rPr>
          <w:rFonts w:ascii="Arial Narrow" w:hAnsi="Arial Narrow"/>
        </w:rPr>
      </w:pPr>
    </w:p>
    <w:p w:rsidR="00A25BDE" w:rsidRPr="006B6F1B" w:rsidRDefault="00A25BDE">
      <w:pPr>
        <w:rPr>
          <w:rFonts w:ascii="Arial Narrow" w:hAnsi="Arial Narrow"/>
        </w:rPr>
      </w:pPr>
    </w:p>
    <w:p w:rsidR="00A25BDE" w:rsidRPr="006B6F1B" w:rsidRDefault="00A25BDE">
      <w:pPr>
        <w:rPr>
          <w:rFonts w:ascii="Arial Narrow" w:hAnsi="Arial Narrow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3"/>
        <w:gridCol w:w="5947"/>
      </w:tblGrid>
      <w:tr w:rsidR="00A25BDE" w:rsidRPr="006B6F1B" w:rsidTr="005C664F">
        <w:tc>
          <w:tcPr>
            <w:tcW w:w="3114" w:type="dxa"/>
          </w:tcPr>
          <w:p w:rsidR="00A25BDE" w:rsidRPr="006B6F1B" w:rsidRDefault="00174894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DDS</w:t>
            </w:r>
          </w:p>
        </w:tc>
        <w:tc>
          <w:tcPr>
            <w:tcW w:w="5948" w:type="dxa"/>
          </w:tcPr>
          <w:p w:rsidR="00A25BDE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Détergent Désinfectant de Surfaces</w:t>
            </w:r>
          </w:p>
        </w:tc>
      </w:tr>
      <w:tr w:rsidR="00A25BDE" w:rsidRPr="006B6F1B" w:rsidTr="005C664F">
        <w:tc>
          <w:tcPr>
            <w:tcW w:w="3114" w:type="dxa"/>
          </w:tcPr>
          <w:p w:rsidR="00A25BDE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DDA</w:t>
            </w:r>
          </w:p>
        </w:tc>
        <w:tc>
          <w:tcPr>
            <w:tcW w:w="5948" w:type="dxa"/>
          </w:tcPr>
          <w:p w:rsidR="00A25BDE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Détergent Désinfectant Alimentaire</w:t>
            </w:r>
          </w:p>
        </w:tc>
      </w:tr>
      <w:tr w:rsidR="00A25BDE" w:rsidRPr="006B6F1B" w:rsidTr="005C664F">
        <w:tc>
          <w:tcPr>
            <w:tcW w:w="3114" w:type="dxa"/>
          </w:tcPr>
          <w:p w:rsidR="00A25BDE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DAOM</w:t>
            </w:r>
          </w:p>
        </w:tc>
        <w:tc>
          <w:tcPr>
            <w:tcW w:w="5948" w:type="dxa"/>
          </w:tcPr>
          <w:p w:rsidR="00A25BDE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Déchets Assimilés aux Ordures Ménagères</w:t>
            </w:r>
          </w:p>
        </w:tc>
      </w:tr>
      <w:tr w:rsidR="00A25BDE" w:rsidRPr="006B6F1B" w:rsidTr="005C664F">
        <w:tc>
          <w:tcPr>
            <w:tcW w:w="3114" w:type="dxa"/>
          </w:tcPr>
          <w:p w:rsidR="00A25BDE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DASRI</w:t>
            </w:r>
          </w:p>
        </w:tc>
        <w:tc>
          <w:tcPr>
            <w:tcW w:w="5948" w:type="dxa"/>
          </w:tcPr>
          <w:p w:rsidR="00A25BDE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Déchets d’Activité de Soins à Risques Infectieux</w:t>
            </w:r>
          </w:p>
        </w:tc>
      </w:tr>
      <w:tr w:rsidR="00F74596" w:rsidRPr="006B6F1B" w:rsidTr="005C664F">
        <w:tc>
          <w:tcPr>
            <w:tcW w:w="3114" w:type="dxa"/>
          </w:tcPr>
          <w:p w:rsidR="00F74596" w:rsidRPr="006B6F1B" w:rsidRDefault="00F74596">
            <w:pPr>
              <w:rPr>
                <w:rFonts w:ascii="Arial Narrow" w:hAnsi="Arial Narrow" w:cs="ArialNarrow"/>
              </w:rPr>
            </w:pPr>
            <w:r>
              <w:rPr>
                <w:rFonts w:ascii="Arial Narrow" w:hAnsi="Arial Narrow" w:cs="ArialNarrow"/>
              </w:rPr>
              <w:t>T</w:t>
            </w:r>
            <w:r w:rsidR="005C74AF">
              <w:rPr>
                <w:rFonts w:ascii="Arial Narrow" w:hAnsi="Arial Narrow" w:cs="ArialNarrow"/>
              </w:rPr>
              <w:t>ROP PLEIN</w:t>
            </w:r>
          </w:p>
        </w:tc>
        <w:tc>
          <w:tcPr>
            <w:tcW w:w="5948" w:type="dxa"/>
          </w:tcPr>
          <w:p w:rsidR="00F74596" w:rsidRPr="006B6F1B" w:rsidRDefault="00F74596">
            <w:pPr>
              <w:rPr>
                <w:rFonts w:ascii="Arial Narrow" w:hAnsi="Arial Narrow" w:cs="ArialNarrow"/>
              </w:rPr>
            </w:pPr>
            <w:r>
              <w:rPr>
                <w:rFonts w:ascii="Arial Narrow" w:hAnsi="Arial Narrow" w:cs="ArialNarrow"/>
              </w:rPr>
              <w:t>Trou d’évacuation intégré dans les lavabos/éviers</w:t>
            </w:r>
          </w:p>
        </w:tc>
      </w:tr>
      <w:tr w:rsidR="00A25BDE" w:rsidRPr="006B6F1B" w:rsidTr="005C664F">
        <w:tc>
          <w:tcPr>
            <w:tcW w:w="3114" w:type="dxa"/>
          </w:tcPr>
          <w:p w:rsidR="00A25BDE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PHA</w:t>
            </w:r>
          </w:p>
        </w:tc>
        <w:tc>
          <w:tcPr>
            <w:tcW w:w="5948" w:type="dxa"/>
          </w:tcPr>
          <w:p w:rsidR="00A25BDE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Produit Hydroalcoolique</w:t>
            </w:r>
          </w:p>
        </w:tc>
      </w:tr>
      <w:tr w:rsidR="00A25BDE" w:rsidRPr="006B6F1B" w:rsidTr="005C664F">
        <w:tc>
          <w:tcPr>
            <w:tcW w:w="3114" w:type="dxa"/>
          </w:tcPr>
          <w:p w:rsidR="00A25BDE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EPI</w:t>
            </w:r>
          </w:p>
        </w:tc>
        <w:tc>
          <w:tcPr>
            <w:tcW w:w="5948" w:type="dxa"/>
          </w:tcPr>
          <w:p w:rsidR="00A25BDE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Equipement Protection Individuelle</w:t>
            </w:r>
          </w:p>
        </w:tc>
      </w:tr>
      <w:tr w:rsidR="00A25BDE" w:rsidRPr="006B6F1B" w:rsidTr="005C664F">
        <w:tc>
          <w:tcPr>
            <w:tcW w:w="3114" w:type="dxa"/>
          </w:tcPr>
          <w:p w:rsidR="00A25BDE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AES</w:t>
            </w:r>
          </w:p>
        </w:tc>
        <w:tc>
          <w:tcPr>
            <w:tcW w:w="5948" w:type="dxa"/>
          </w:tcPr>
          <w:p w:rsidR="00A25BDE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Accident d’Exposition au Sang</w:t>
            </w:r>
          </w:p>
        </w:tc>
      </w:tr>
      <w:tr w:rsidR="00A25BDE" w:rsidRPr="006B6F1B" w:rsidTr="005C664F">
        <w:tc>
          <w:tcPr>
            <w:tcW w:w="3114" w:type="dxa"/>
          </w:tcPr>
          <w:p w:rsidR="00A25BDE" w:rsidRPr="006B6F1B" w:rsidRDefault="006B6F1B">
            <w:pPr>
              <w:rPr>
                <w:rFonts w:ascii="Arial Narrow" w:hAnsi="Arial Narrow"/>
                <w:strike/>
              </w:rPr>
            </w:pPr>
            <w:r w:rsidRPr="006B6F1B">
              <w:rPr>
                <w:rFonts w:ascii="Arial Narrow" w:hAnsi="Arial Narrow" w:cs="ArialNarrow"/>
              </w:rPr>
              <w:t>CSE</w:t>
            </w:r>
          </w:p>
        </w:tc>
        <w:tc>
          <w:tcPr>
            <w:tcW w:w="5948" w:type="dxa"/>
          </w:tcPr>
          <w:p w:rsidR="006B6F1B" w:rsidRPr="00F74596" w:rsidRDefault="006B6F1B">
            <w:pPr>
              <w:rPr>
                <w:rFonts w:ascii="Arial Narrow" w:hAnsi="Arial Narrow"/>
              </w:rPr>
            </w:pPr>
            <w:r w:rsidRPr="00F74596">
              <w:rPr>
                <w:rFonts w:ascii="Arial Narrow" w:hAnsi="Arial Narrow"/>
              </w:rPr>
              <w:t>Comité Sociale et Economique</w:t>
            </w:r>
          </w:p>
        </w:tc>
      </w:tr>
      <w:tr w:rsidR="005C664F" w:rsidRPr="006B6F1B" w:rsidTr="005C664F">
        <w:tc>
          <w:tcPr>
            <w:tcW w:w="3114" w:type="dxa"/>
          </w:tcPr>
          <w:p w:rsidR="005C664F" w:rsidRPr="006B6F1B" w:rsidRDefault="005C664F">
            <w:pPr>
              <w:rPr>
                <w:rFonts w:ascii="Arial Narrow" w:hAnsi="Arial Narrow" w:cs="ArialNarrow"/>
              </w:rPr>
            </w:pPr>
            <w:r w:rsidRPr="006B6F1B">
              <w:rPr>
                <w:rFonts w:ascii="Arial Narrow" w:hAnsi="Arial Narrow" w:cs="ArialNarrow"/>
              </w:rPr>
              <w:t>CAT</w:t>
            </w:r>
          </w:p>
        </w:tc>
        <w:tc>
          <w:tcPr>
            <w:tcW w:w="5948" w:type="dxa"/>
          </w:tcPr>
          <w:p w:rsidR="005C664F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Conduite A Tenir</w:t>
            </w:r>
          </w:p>
        </w:tc>
      </w:tr>
      <w:tr w:rsidR="005C664F" w:rsidRPr="006B6F1B" w:rsidTr="005C664F">
        <w:tc>
          <w:tcPr>
            <w:tcW w:w="3114" w:type="dxa"/>
          </w:tcPr>
          <w:p w:rsidR="005C664F" w:rsidRPr="006B6F1B" w:rsidRDefault="005C664F">
            <w:pPr>
              <w:rPr>
                <w:rFonts w:ascii="Arial Narrow" w:hAnsi="Arial Narrow" w:cs="ArialNarrow"/>
              </w:rPr>
            </w:pPr>
            <w:r w:rsidRPr="006B6F1B">
              <w:rPr>
                <w:rFonts w:ascii="Arial Narrow" w:hAnsi="Arial Narrow" w:cs="ArialNarrow"/>
              </w:rPr>
              <w:t>CS</w:t>
            </w:r>
          </w:p>
        </w:tc>
        <w:tc>
          <w:tcPr>
            <w:tcW w:w="5948" w:type="dxa"/>
          </w:tcPr>
          <w:p w:rsidR="005C664F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Consultation</w:t>
            </w:r>
          </w:p>
        </w:tc>
      </w:tr>
      <w:tr w:rsidR="005C664F" w:rsidRPr="006B6F1B" w:rsidTr="005C664F">
        <w:tc>
          <w:tcPr>
            <w:tcW w:w="3114" w:type="dxa"/>
          </w:tcPr>
          <w:p w:rsidR="005C664F" w:rsidRPr="006B6F1B" w:rsidRDefault="005C664F">
            <w:pPr>
              <w:rPr>
                <w:rFonts w:ascii="Arial Narrow" w:hAnsi="Arial Narrow" w:cs="ArialNarrow"/>
              </w:rPr>
            </w:pPr>
            <w:r w:rsidRPr="006B6F1B">
              <w:rPr>
                <w:rFonts w:ascii="Arial Narrow" w:hAnsi="Arial Narrow" w:cs="ArialNarrow"/>
              </w:rPr>
              <w:t>DI</w:t>
            </w:r>
          </w:p>
        </w:tc>
        <w:tc>
          <w:tcPr>
            <w:tcW w:w="5948" w:type="dxa"/>
          </w:tcPr>
          <w:p w:rsidR="005C664F" w:rsidRPr="006B6F1B" w:rsidRDefault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Demande d’Intervention</w:t>
            </w:r>
          </w:p>
        </w:tc>
      </w:tr>
      <w:tr w:rsidR="005C664F" w:rsidRPr="006B6F1B" w:rsidTr="005C664F">
        <w:tc>
          <w:tcPr>
            <w:tcW w:w="3114" w:type="dxa"/>
          </w:tcPr>
          <w:p w:rsidR="005C664F" w:rsidRPr="006B6F1B" w:rsidRDefault="005C664F">
            <w:pPr>
              <w:rPr>
                <w:rFonts w:ascii="Arial Narrow" w:hAnsi="Arial Narrow" w:cs="ArialNarrow"/>
              </w:rPr>
            </w:pPr>
            <w:r w:rsidRPr="006B6F1B">
              <w:rPr>
                <w:rFonts w:ascii="Arial Narrow" w:hAnsi="Arial Narrow" w:cs="ArialNarrow"/>
              </w:rPr>
              <w:t>BCH</w:t>
            </w:r>
          </w:p>
        </w:tc>
        <w:tc>
          <w:tcPr>
            <w:tcW w:w="5948" w:type="dxa"/>
          </w:tcPr>
          <w:p w:rsidR="005C664F" w:rsidRPr="006B6F1B" w:rsidRDefault="005C664F" w:rsidP="005C664F">
            <w:pPr>
              <w:jc w:val="both"/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Demande d’Intervention</w:t>
            </w:r>
          </w:p>
        </w:tc>
      </w:tr>
      <w:tr w:rsidR="005C664F" w:rsidRPr="006B6F1B" w:rsidTr="005C664F">
        <w:tc>
          <w:tcPr>
            <w:tcW w:w="3114" w:type="dxa"/>
          </w:tcPr>
          <w:p w:rsidR="005C664F" w:rsidRPr="006B6F1B" w:rsidRDefault="005C664F">
            <w:pPr>
              <w:rPr>
                <w:rFonts w:ascii="Arial Narrow" w:hAnsi="Arial Narrow" w:cs="ArialNarrow"/>
              </w:rPr>
            </w:pPr>
            <w:r w:rsidRPr="006B6F1B">
              <w:rPr>
                <w:rFonts w:ascii="Arial Narrow" w:hAnsi="Arial Narrow" w:cs="ArialNarrow"/>
              </w:rPr>
              <w:t>MCO</w:t>
            </w:r>
          </w:p>
        </w:tc>
        <w:tc>
          <w:tcPr>
            <w:tcW w:w="5948" w:type="dxa"/>
          </w:tcPr>
          <w:p w:rsidR="005C664F" w:rsidRPr="006B6F1B" w:rsidRDefault="005C664F" w:rsidP="005C664F">
            <w:pPr>
              <w:rPr>
                <w:rFonts w:ascii="Arial Narrow" w:hAnsi="Arial Narrow"/>
              </w:rPr>
            </w:pPr>
            <w:r w:rsidRPr="006B6F1B">
              <w:rPr>
                <w:rFonts w:ascii="Arial Narrow" w:hAnsi="Arial Narrow" w:cs="ArialNarrow"/>
              </w:rPr>
              <w:t>Médecine, Chirurgie, Obstétrique</w:t>
            </w:r>
          </w:p>
        </w:tc>
      </w:tr>
      <w:tr w:rsidR="005C664F" w:rsidRPr="006B6F1B" w:rsidTr="00621163">
        <w:trPr>
          <w:trHeight w:val="1134"/>
        </w:trPr>
        <w:tc>
          <w:tcPr>
            <w:tcW w:w="3114" w:type="dxa"/>
          </w:tcPr>
          <w:p w:rsidR="005C664F" w:rsidRPr="006B6F1B" w:rsidRDefault="005C664F">
            <w:pPr>
              <w:rPr>
                <w:rFonts w:ascii="Arial Narrow" w:hAnsi="Arial Narrow" w:cs="ArialNarrow"/>
              </w:rPr>
            </w:pPr>
            <w:r w:rsidRPr="006B6F1B">
              <w:rPr>
                <w:rFonts w:ascii="Arial Narrow" w:hAnsi="Arial Narrow" w:cs="ArialNarrow"/>
              </w:rPr>
              <w:t>GMAO</w:t>
            </w:r>
          </w:p>
        </w:tc>
        <w:tc>
          <w:tcPr>
            <w:tcW w:w="5948" w:type="dxa"/>
          </w:tcPr>
          <w:p w:rsidR="005C664F" w:rsidRPr="006B6F1B" w:rsidRDefault="005C664F" w:rsidP="005C664F">
            <w:pPr>
              <w:autoSpaceDE w:val="0"/>
              <w:autoSpaceDN w:val="0"/>
              <w:adjustRightInd w:val="0"/>
              <w:rPr>
                <w:rFonts w:ascii="Arial Narrow" w:hAnsi="Arial Narrow" w:cs="ArialNarrow"/>
              </w:rPr>
            </w:pPr>
            <w:r w:rsidRPr="006B6F1B">
              <w:rPr>
                <w:rFonts w:ascii="Arial Narrow" w:hAnsi="Arial Narrow" w:cs="ArialNarrow"/>
              </w:rPr>
              <w:t>Référence alfa numérique d’une pièce</w:t>
            </w:r>
          </w:p>
          <w:p w:rsidR="005C664F" w:rsidRPr="006B6F1B" w:rsidRDefault="005C664F" w:rsidP="005C664F">
            <w:pPr>
              <w:autoSpaceDE w:val="0"/>
              <w:autoSpaceDN w:val="0"/>
              <w:adjustRightInd w:val="0"/>
              <w:rPr>
                <w:rFonts w:ascii="Arial Narrow" w:hAnsi="Arial Narrow" w:cs="ArialNarrow"/>
              </w:rPr>
            </w:pPr>
            <w:r w:rsidRPr="006B6F1B">
              <w:rPr>
                <w:rFonts w:ascii="Arial Narrow" w:hAnsi="Arial Narrow" w:cs="ArialNarrow"/>
              </w:rPr>
              <w:t>(</w:t>
            </w:r>
            <w:proofErr w:type="gramStart"/>
            <w:r w:rsidRPr="006B6F1B">
              <w:rPr>
                <w:rFonts w:ascii="Arial Narrow" w:hAnsi="Arial Narrow" w:cs="ArialNarrow"/>
              </w:rPr>
              <w:t>ex</w:t>
            </w:r>
            <w:proofErr w:type="gramEnd"/>
            <w:r w:rsidRPr="006B6F1B">
              <w:rPr>
                <w:rFonts w:ascii="Arial Narrow" w:hAnsi="Arial Narrow" w:cs="ArialNarrow"/>
              </w:rPr>
              <w:t xml:space="preserve"> : A3b-02-1499)</w:t>
            </w:r>
          </w:p>
          <w:p w:rsidR="005C664F" w:rsidRDefault="005C664F" w:rsidP="005C664F">
            <w:pPr>
              <w:autoSpaceDE w:val="0"/>
              <w:autoSpaceDN w:val="0"/>
              <w:adjustRightInd w:val="0"/>
              <w:rPr>
                <w:rFonts w:ascii="Arial Narrow" w:hAnsi="Arial Narrow" w:cs="ArialNarrow"/>
              </w:rPr>
            </w:pPr>
            <w:r w:rsidRPr="006B6F1B">
              <w:rPr>
                <w:rFonts w:ascii="Arial Narrow" w:hAnsi="Arial Narrow" w:cs="ArialNarrow"/>
              </w:rPr>
              <w:t>La lettre A = correspond à la couleur du bâtiment : BLEU</w:t>
            </w:r>
          </w:p>
          <w:p w:rsidR="0076452D" w:rsidRPr="006B6F1B" w:rsidRDefault="0076452D" w:rsidP="005C664F">
            <w:pPr>
              <w:autoSpaceDE w:val="0"/>
              <w:autoSpaceDN w:val="0"/>
              <w:adjustRightInd w:val="0"/>
              <w:rPr>
                <w:rFonts w:ascii="Arial Narrow" w:hAnsi="Arial Narrow" w:cs="ArialNarrow"/>
              </w:rPr>
            </w:pPr>
            <w:r>
              <w:rPr>
                <w:rFonts w:ascii="Arial Narrow" w:hAnsi="Arial Narrow" w:cs="ArialNarrow"/>
              </w:rPr>
              <w:t>Les chiffres/ lettres après la 1</w:t>
            </w:r>
            <w:r w:rsidRPr="0076452D">
              <w:rPr>
                <w:rFonts w:ascii="Arial Narrow" w:hAnsi="Arial Narrow" w:cs="ArialNarrow"/>
                <w:vertAlign w:val="superscript"/>
              </w:rPr>
              <w:t>ère</w:t>
            </w:r>
            <w:r>
              <w:rPr>
                <w:rFonts w:ascii="Arial Narrow" w:hAnsi="Arial Narrow" w:cs="ArialNarrow"/>
              </w:rPr>
              <w:t xml:space="preserve"> lettre = correspond au secteur</w:t>
            </w:r>
          </w:p>
          <w:p w:rsidR="005C664F" w:rsidRPr="006B6F1B" w:rsidRDefault="005C664F" w:rsidP="005C664F">
            <w:pPr>
              <w:autoSpaceDE w:val="0"/>
              <w:autoSpaceDN w:val="0"/>
              <w:adjustRightInd w:val="0"/>
              <w:rPr>
                <w:rFonts w:ascii="Arial Narrow" w:hAnsi="Arial Narrow" w:cs="ArialNarrow"/>
              </w:rPr>
            </w:pPr>
            <w:r w:rsidRPr="006B6F1B">
              <w:rPr>
                <w:rFonts w:ascii="Arial Narrow" w:hAnsi="Arial Narrow" w:cs="ArialNarrow"/>
              </w:rPr>
              <w:t>« 02 » : correspond à l’étage</w:t>
            </w:r>
          </w:p>
          <w:p w:rsidR="005C664F" w:rsidRDefault="005C664F" w:rsidP="005C664F">
            <w:pPr>
              <w:rPr>
                <w:rFonts w:ascii="Arial Narrow" w:hAnsi="Arial Narrow" w:cs="ArialNarrow"/>
              </w:rPr>
            </w:pPr>
            <w:r w:rsidRPr="006B6F1B">
              <w:rPr>
                <w:rFonts w:ascii="Arial Narrow" w:hAnsi="Arial Narrow" w:cs="ArialNarrow"/>
              </w:rPr>
              <w:t>« 1499 » : correspond au numéro de la pièce</w:t>
            </w:r>
          </w:p>
          <w:p w:rsidR="00621163" w:rsidRPr="006B6F1B" w:rsidRDefault="00621163" w:rsidP="005C664F">
            <w:pPr>
              <w:rPr>
                <w:rFonts w:ascii="Arial Narrow" w:hAnsi="Arial Narrow"/>
              </w:rPr>
            </w:pPr>
            <w:r w:rsidRPr="0076452D">
              <w:rPr>
                <w:rFonts w:ascii="Arial Narrow" w:hAnsi="Arial Narrow"/>
                <w:highlight w:val="yellow"/>
              </w:rPr>
              <w:t>REFERENCE A COMMUNIQUER IMPERATIVEMENT POUR TOUTE DEMANDE.</w:t>
            </w:r>
          </w:p>
        </w:tc>
      </w:tr>
      <w:tr w:rsidR="00F74596" w:rsidRPr="006B6F1B" w:rsidTr="005C664F">
        <w:tc>
          <w:tcPr>
            <w:tcW w:w="3114" w:type="dxa"/>
          </w:tcPr>
          <w:p w:rsidR="00F74596" w:rsidRPr="006B6F1B" w:rsidRDefault="00F74596">
            <w:pPr>
              <w:rPr>
                <w:rFonts w:ascii="Arial Narrow" w:hAnsi="Arial Narrow" w:cs="ArialNarrow"/>
              </w:rPr>
            </w:pPr>
            <w:r>
              <w:rPr>
                <w:rFonts w:ascii="Arial Narrow" w:hAnsi="Arial Narrow" w:cs="ArialNarrow"/>
              </w:rPr>
              <w:t>TAL « tortue »</w:t>
            </w:r>
          </w:p>
        </w:tc>
        <w:tc>
          <w:tcPr>
            <w:tcW w:w="5948" w:type="dxa"/>
          </w:tcPr>
          <w:p w:rsidR="00F74596" w:rsidRPr="006B6F1B" w:rsidRDefault="00F74596" w:rsidP="005C664F">
            <w:pPr>
              <w:autoSpaceDE w:val="0"/>
              <w:autoSpaceDN w:val="0"/>
              <w:adjustRightInd w:val="0"/>
              <w:rPr>
                <w:rFonts w:ascii="Arial Narrow" w:hAnsi="Arial Narrow" w:cs="ArialNarrow"/>
              </w:rPr>
            </w:pPr>
            <w:r>
              <w:rPr>
                <w:rFonts w:ascii="Arial Narrow" w:hAnsi="Arial Narrow" w:cs="ArialNarrow"/>
              </w:rPr>
              <w:t>Transport Automatisé Lourd</w:t>
            </w:r>
          </w:p>
        </w:tc>
      </w:tr>
    </w:tbl>
    <w:p w:rsidR="00A25BDE" w:rsidRDefault="00A25BDE">
      <w:pPr>
        <w:rPr>
          <w:rFonts w:ascii="Arial Narrow" w:hAnsi="Arial Narrow"/>
        </w:rPr>
      </w:pPr>
    </w:p>
    <w:p w:rsidR="00036FB6" w:rsidRDefault="00036FB6">
      <w:pPr>
        <w:rPr>
          <w:rFonts w:ascii="Arial Narrow" w:hAnsi="Arial Narrow"/>
        </w:rPr>
      </w:pPr>
    </w:p>
    <w:p w:rsidR="00036FB6" w:rsidRPr="006B6F1B" w:rsidRDefault="00036FB6">
      <w:pPr>
        <w:rPr>
          <w:rFonts w:ascii="Arial Narrow" w:hAnsi="Arial Narrow"/>
        </w:rPr>
      </w:pPr>
    </w:p>
    <w:sectPr w:rsidR="00036FB6" w:rsidRPr="006B6F1B" w:rsidSect="003D7795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7795" w:rsidRDefault="003D7795" w:rsidP="003D7795">
      <w:pPr>
        <w:spacing w:after="0" w:line="240" w:lineRule="auto"/>
      </w:pPr>
      <w:r>
        <w:separator/>
      </w:r>
    </w:p>
  </w:endnote>
  <w:endnote w:type="continuationSeparator" w:id="0">
    <w:p w:rsidR="003D7795" w:rsidRDefault="003D7795" w:rsidP="003D7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7795" w:rsidRDefault="003D7795" w:rsidP="003D7795">
      <w:pPr>
        <w:spacing w:after="0" w:line="240" w:lineRule="auto"/>
      </w:pPr>
      <w:r>
        <w:separator/>
      </w:r>
    </w:p>
  </w:footnote>
  <w:footnote w:type="continuationSeparator" w:id="0">
    <w:p w:rsidR="003D7795" w:rsidRDefault="003D7795" w:rsidP="003D7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795" w:rsidRDefault="003D7795">
    <w:pPr>
      <w:pStyle w:val="En-tte"/>
    </w:pPr>
    <w:r>
      <w:rPr>
        <w:noProof/>
      </w:rPr>
      <w:drawing>
        <wp:inline distT="0" distB="0" distL="0" distR="0" wp14:anchorId="1B4F927F" wp14:editId="56B3CA42">
          <wp:extent cx="827347" cy="649605"/>
          <wp:effectExtent l="0" t="0" r="0" b="0"/>
          <wp:docPr id="5" name="Image 4">
            <a:extLst xmlns:a="http://schemas.openxmlformats.org/drawingml/2006/main">
              <a:ext uri="{FF2B5EF4-FFF2-40B4-BE49-F238E27FC236}">
                <a16:creationId xmlns:a16="http://schemas.microsoft.com/office/drawing/2014/main" id="{544439DE-F608-4087-BA0A-B2ACB7BC3F3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4">
                    <a:extLst>
                      <a:ext uri="{FF2B5EF4-FFF2-40B4-BE49-F238E27FC236}">
                        <a16:creationId xmlns:a16="http://schemas.microsoft.com/office/drawing/2014/main" id="{544439DE-F608-4087-BA0A-B2ACB7BC3F3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7347" cy="649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D7795">
      <w:rPr>
        <w:rFonts w:ascii="Arial Narrow" w:hAnsi="Arial Narrow"/>
        <w:b/>
        <w:sz w:val="36"/>
        <w:szCs w:val="36"/>
      </w:rPr>
      <w:t xml:space="preserve">ANNEXE </w:t>
    </w:r>
    <w:r w:rsidR="00943563">
      <w:rPr>
        <w:rFonts w:ascii="Arial Narrow" w:hAnsi="Arial Narrow"/>
        <w:b/>
        <w:sz w:val="36"/>
        <w:szCs w:val="36"/>
      </w:rPr>
      <w:t>O</w:t>
    </w:r>
    <w:r w:rsidRPr="003D7795">
      <w:rPr>
        <w:rFonts w:ascii="Arial Narrow" w:hAnsi="Arial Narrow"/>
        <w:b/>
        <w:sz w:val="36"/>
        <w:szCs w:val="36"/>
      </w:rPr>
      <w:t xml:space="preserve"> 1 : GLOSSAIRE GENERAL      2026-01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FDA"/>
    <w:rsid w:val="00036FB6"/>
    <w:rsid w:val="000B6349"/>
    <w:rsid w:val="00174894"/>
    <w:rsid w:val="002A1519"/>
    <w:rsid w:val="003D7795"/>
    <w:rsid w:val="00443CA6"/>
    <w:rsid w:val="00534478"/>
    <w:rsid w:val="005C664F"/>
    <w:rsid w:val="005C74AF"/>
    <w:rsid w:val="00621163"/>
    <w:rsid w:val="006B6F1B"/>
    <w:rsid w:val="0070609B"/>
    <w:rsid w:val="0076452D"/>
    <w:rsid w:val="00812FDA"/>
    <w:rsid w:val="008D544A"/>
    <w:rsid w:val="00943563"/>
    <w:rsid w:val="00A25BDE"/>
    <w:rsid w:val="00A73B25"/>
    <w:rsid w:val="00D13FCB"/>
    <w:rsid w:val="00F1394A"/>
    <w:rsid w:val="00F7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DAFB2"/>
  <w15:chartTrackingRefBased/>
  <w15:docId w15:val="{BD2BE82E-4C7C-4BAA-B3D4-2AFD041F0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12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D7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D7795"/>
  </w:style>
  <w:style w:type="paragraph" w:styleId="Pieddepage">
    <w:name w:val="footer"/>
    <w:basedOn w:val="Normal"/>
    <w:link w:val="PieddepageCar"/>
    <w:uiPriority w:val="99"/>
    <w:unhideWhenUsed/>
    <w:rsid w:val="003D7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D7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571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Centre hospitalier régional d ORLEANS</Company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TROTIN Marie</dc:creator>
  <cp:keywords/>
  <dc:description/>
  <cp:lastModifiedBy>GODIN Jennifer</cp:lastModifiedBy>
  <cp:revision>15</cp:revision>
  <cp:lastPrinted>2026-03-04T14:40:00Z</cp:lastPrinted>
  <dcterms:created xsi:type="dcterms:W3CDTF">2026-02-19T12:33:00Z</dcterms:created>
  <dcterms:modified xsi:type="dcterms:W3CDTF">2026-03-10T10:10:00Z</dcterms:modified>
</cp:coreProperties>
</file>